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9339" w14:textId="597B26F2" w:rsidR="00803821" w:rsidRPr="00803821" w:rsidRDefault="00803821" w:rsidP="00803821">
      <w:pPr>
        <w:pStyle w:val="NormalWeb"/>
        <w:rPr>
          <w:rFonts w:ascii="TimesNewRomanPSMT" w:hAnsi="TimesNewRomanPSMT"/>
          <w:b/>
          <w:bCs/>
          <w:u w:val="single"/>
        </w:rPr>
      </w:pPr>
      <w:r w:rsidRPr="00803821">
        <w:rPr>
          <w:rFonts w:ascii="TimesNewRomanPSMT" w:hAnsi="TimesNewRomanPSMT"/>
          <w:b/>
          <w:bCs/>
          <w:u w:val="single"/>
        </w:rPr>
        <w:t>UC Berkeley template</w:t>
      </w:r>
    </w:p>
    <w:p w14:paraId="120B0E2B" w14:textId="4EC45D1A" w:rsidR="00803821" w:rsidRDefault="00803821" w:rsidP="00803821">
      <w:pPr>
        <w:pStyle w:val="NormalWeb"/>
      </w:pPr>
      <w:proofErr w:type="gramStart"/>
      <w:r>
        <w:rPr>
          <w:rFonts w:ascii="TimesNewRomanPSMT" w:hAnsi="TimesNewRomanPSMT"/>
        </w:rPr>
        <w:t>4.9  </w:t>
      </w:r>
      <w:r>
        <w:rPr>
          <w:rFonts w:ascii="TimesNewRomanPS" w:hAnsi="TimesNewRomanPS"/>
          <w:b/>
          <w:bCs/>
        </w:rPr>
        <w:t>Affordable</w:t>
      </w:r>
      <w:proofErr w:type="gramEnd"/>
      <w:r>
        <w:rPr>
          <w:rFonts w:ascii="TimesNewRomanPS" w:hAnsi="TimesNewRomanPS"/>
          <w:b/>
          <w:bCs/>
        </w:rPr>
        <w:t xml:space="preserve"> Access Plan</w:t>
      </w:r>
      <w:r>
        <w:rPr>
          <w:rFonts w:ascii="TimesNewRomanPSMT" w:hAnsi="TimesNewRomanPSMT"/>
        </w:rPr>
        <w:t>. Within three (3) months of receiving FDA (or its foreign equivalent’s) approval of a LICENSED PRODUCT, LICENSEE will provide the REGENTS with either (a) an Affordable Access Plan (defined below), or (b) a written</w:t>
      </w:r>
      <w:r>
        <w:rPr>
          <w:rFonts w:ascii="TimesNewRomanPSMT" w:hAnsi="TimesNewRomanPSMT"/>
        </w:rPr>
        <w:t xml:space="preserve"> </w:t>
      </w:r>
      <w:r w:rsidRPr="00803821">
        <w:rPr>
          <w:rFonts w:ascii="TimesNewRomanPSMT" w:hAnsi="TimesNewRomanPSMT"/>
        </w:rPr>
        <w:t xml:space="preserve">explanation as to why such an Affordable Access Plan is not needed or infeasible. In the case of (b), LICENSEE agrees to discuss such reasoning with the REGENTS in good faith within one (1) month thereafter (“Initial Discussion”) and, if following such Initial </w:t>
      </w:r>
      <w:proofErr w:type="gramStart"/>
      <w:r w:rsidRPr="00803821">
        <w:rPr>
          <w:rFonts w:ascii="TimesNewRomanPSMT" w:hAnsi="TimesNewRomanPSMT"/>
        </w:rPr>
        <w:t>Discussion</w:t>
      </w:r>
      <w:proofErr w:type="gramEnd"/>
      <w:r w:rsidRPr="00803821">
        <w:rPr>
          <w:rFonts w:ascii="TimesNewRomanPSMT" w:hAnsi="TimesNewRomanPSMT"/>
        </w:rPr>
        <w:t xml:space="preserve"> the REGENTS concludes an Affordable Access Plan is reasonable and desired, to provide an Affordable Access Plan to the REGENTS within three (3) months of such Initial Discussion. The “Affordable Access Plan” means LICENSEE’S and/or its SUBLICENSEES’ plans (including strategies and timelines) reasonably intended to support affordable access in a) </w:t>
      </w:r>
      <w:proofErr w:type="gramStart"/>
      <w:r w:rsidRPr="00803821">
        <w:rPr>
          <w:rFonts w:ascii="TimesNewRomanPSMT" w:hAnsi="TimesNewRomanPSMT"/>
        </w:rPr>
        <w:t>Low and Middle Income</w:t>
      </w:r>
      <w:proofErr w:type="gramEnd"/>
      <w:r w:rsidRPr="00803821">
        <w:rPr>
          <w:rFonts w:ascii="TimesNewRomanPSMT" w:hAnsi="TimesNewRomanPSMT"/>
        </w:rPr>
        <w:t xml:space="preserve"> Countries as defined by the World Bank Group (“LMICs”), and b) vulnerable, underserved, and special needs populations in the U.S., as defined by the Department of Health and Human Services, such as through licensing or partnerships including with non-profit organizations. To the extent such Affordable Access Plan includes Proprietary Information, LICENSEE will also provide a non-confidential version or statement of such Plan that the REGENTS can make available to third parties: </w:t>
      </w:r>
    </w:p>
    <w:p w14:paraId="4D2B3DDE" w14:textId="77777777" w:rsidR="00803821" w:rsidRDefault="00803821" w:rsidP="00803821">
      <w:pPr>
        <w:pStyle w:val="NormalWeb"/>
      </w:pPr>
      <w:r>
        <w:rPr>
          <w:rFonts w:ascii="TimesNewRomanPSMT" w:hAnsi="TimesNewRomanPSMT"/>
        </w:rPr>
        <w:t>(a) A specified set of (“LMICs”) in which the LICENSEE does not intend to commercialize the LICENSED PRODUCTS (the “Non-Commercialized Territory”</w:t>
      </w:r>
      <w:proofErr w:type="gramStart"/>
      <w:r>
        <w:rPr>
          <w:rFonts w:ascii="TimesNewRomanPSMT" w:hAnsi="TimesNewRomanPSMT"/>
        </w:rPr>
        <w:t>);</w:t>
      </w:r>
      <w:proofErr w:type="gramEnd"/>
      <w:r>
        <w:rPr>
          <w:rFonts w:ascii="TimesNewRomanPSMT" w:hAnsi="TimesNewRomanPSMT"/>
        </w:rPr>
        <w:t xml:space="preserve"> </w:t>
      </w:r>
    </w:p>
    <w:p w14:paraId="0EF15AF9" w14:textId="77777777" w:rsidR="00803821" w:rsidRDefault="00803821" w:rsidP="00803821">
      <w:pPr>
        <w:pStyle w:val="NormalWeb"/>
      </w:pPr>
      <w:r>
        <w:rPr>
          <w:rFonts w:ascii="TimesNewRomanPSMT" w:hAnsi="TimesNewRomanPSMT"/>
        </w:rPr>
        <w:t xml:space="preserve">(b) LICENSEE’S and/or its SUBLICENSEES’ plans (including strategies and timelines) reasonably intended to support affordable access in LMICs and Non-Commercialized Territories, such as through licensing or partnerships including with non-profit organizations; and </w:t>
      </w:r>
    </w:p>
    <w:p w14:paraId="5C3BB675" w14:textId="77777777" w:rsidR="00803821" w:rsidRDefault="00803821" w:rsidP="00803821">
      <w:pPr>
        <w:pStyle w:val="NormalWeb"/>
      </w:pPr>
      <w:r>
        <w:rPr>
          <w:rFonts w:ascii="TimesNewRomanPSMT" w:hAnsi="TimesNewRomanPSMT"/>
        </w:rPr>
        <w:t xml:space="preserve">(c) LICENSEE’S and/or its SUBLICENSEE’ plans (including strategies and timelines) reasonably intended to support affordable access for the vulnerable, </w:t>
      </w:r>
      <w:proofErr w:type="gramStart"/>
      <w:r>
        <w:rPr>
          <w:rFonts w:ascii="TimesNewRomanPSMT" w:hAnsi="TimesNewRomanPSMT"/>
        </w:rPr>
        <w:t>underserved</w:t>
      </w:r>
      <w:proofErr w:type="gramEnd"/>
      <w:r>
        <w:rPr>
          <w:rFonts w:ascii="TimesNewRomanPSMT" w:hAnsi="TimesNewRomanPSMT"/>
        </w:rPr>
        <w:t xml:space="preserve"> and special needs populations in the U.S. </w:t>
      </w:r>
    </w:p>
    <w:p w14:paraId="79D38296" w14:textId="77777777" w:rsidR="00803821" w:rsidRDefault="00803821" w:rsidP="00803821">
      <w:pPr>
        <w:pStyle w:val="NormalWeb"/>
      </w:pPr>
      <w:r>
        <w:rPr>
          <w:rFonts w:ascii="TimesNewRomanPSMT" w:hAnsi="TimesNewRomanPSMT"/>
        </w:rPr>
        <w:t xml:space="preserve">Within thirty (30) days of the REGENTS’ request (but no more often than once annually), LICENSEE agrees to confer with the REGENTS to review LICENSEE’S progress, and to consider in good faith any modifications suggested by the REGENTS, with respect to its Affordable Access Plan (“Progress Discussions”). For clarity, while the REGENTS may invite a designated entity to join either the Initial and/or Progress Discussions under this Paragraph 4.9, such discussions </w:t>
      </w:r>
      <w:proofErr w:type="gramStart"/>
      <w:r>
        <w:rPr>
          <w:rFonts w:ascii="TimesNewRomanPSMT" w:hAnsi="TimesNewRomanPSMT"/>
        </w:rPr>
        <w:t>will at all times</w:t>
      </w:r>
      <w:proofErr w:type="gramEnd"/>
      <w:r>
        <w:rPr>
          <w:rFonts w:ascii="TimesNewRomanPSMT" w:hAnsi="TimesNewRomanPSMT"/>
        </w:rPr>
        <w:t xml:space="preserve"> be made subject to the confidentiality obligations set forth in Article 25 (Confidentiality). </w:t>
      </w:r>
    </w:p>
    <w:p w14:paraId="7461E10F" w14:textId="6407422A" w:rsidR="002F0FE7" w:rsidRDefault="00803821">
      <w:r>
        <w:t>--</w:t>
      </w:r>
    </w:p>
    <w:p w14:paraId="7420A8DE" w14:textId="77777777" w:rsidR="00803821" w:rsidRDefault="00803821" w:rsidP="00803821">
      <w:pPr>
        <w:pStyle w:val="NormalWeb"/>
      </w:pPr>
      <w:r>
        <w:rPr>
          <w:rFonts w:ascii="TimesNewRomanPS" w:hAnsi="TimesNewRomanPS"/>
          <w:b/>
          <w:bCs/>
        </w:rPr>
        <w:t xml:space="preserve">8. PROGRESS AND ROYALTY REPORTS </w:t>
      </w:r>
    </w:p>
    <w:p w14:paraId="23FB5159" w14:textId="77777777" w:rsidR="00803821" w:rsidRDefault="00803821" w:rsidP="00803821">
      <w:pPr>
        <w:pStyle w:val="NormalWeb"/>
        <w:ind w:left="720"/>
      </w:pPr>
      <w:proofErr w:type="gramStart"/>
      <w:r>
        <w:rPr>
          <w:rFonts w:ascii="TimesNewRomanPSMT" w:hAnsi="TimesNewRomanPSMT"/>
        </w:rPr>
        <w:t>8.1  </w:t>
      </w:r>
      <w:r>
        <w:rPr>
          <w:rFonts w:ascii="TimesNewRomanPS" w:hAnsi="TimesNewRomanPS"/>
          <w:b/>
          <w:bCs/>
        </w:rPr>
        <w:t>Progress</w:t>
      </w:r>
      <w:proofErr w:type="gramEnd"/>
      <w:r>
        <w:rPr>
          <w:rFonts w:ascii="TimesNewRomanPS" w:hAnsi="TimesNewRomanPS"/>
          <w:b/>
          <w:bCs/>
        </w:rPr>
        <w:t xml:space="preserve"> Reports</w:t>
      </w:r>
      <w:r>
        <w:rPr>
          <w:rFonts w:ascii="TimesNewRomanPSMT" w:hAnsi="TimesNewRomanPSMT"/>
        </w:rPr>
        <w:t>. For the period beginning [</w:t>
      </w:r>
      <w:r>
        <w:rPr>
          <w:rFonts w:ascii="TimesNewRomanPS" w:hAnsi="TimesNewRomanPS"/>
          <w:b/>
          <w:bCs/>
          <w:i/>
          <w:iCs/>
          <w:color w:val="FF0000"/>
        </w:rPr>
        <w:t>Date</w:t>
      </w:r>
      <w:r>
        <w:rPr>
          <w:rFonts w:ascii="TimesNewRomanPS" w:hAnsi="TimesNewRomanPS"/>
          <w:b/>
          <w:bCs/>
        </w:rPr>
        <w:t xml:space="preserve">], </w:t>
      </w:r>
      <w:r>
        <w:rPr>
          <w:rFonts w:ascii="TimesNewRomanPSMT" w:hAnsi="TimesNewRomanPSMT"/>
        </w:rPr>
        <w:t xml:space="preserve">LICENSEE will submit to REGENTS a semi-annual progress report covering LICENSEE's activities related to the development and testing of all LICENSED PRODUCTS, LICENSED SERVICES and LICENSED METHODS and the obtaining of necessary governmental approvals, if any, </w:t>
      </w:r>
      <w:r>
        <w:rPr>
          <w:rFonts w:ascii="TimesNewRomanPSMT" w:hAnsi="TimesNewRomanPSMT"/>
        </w:rPr>
        <w:lastRenderedPageBreak/>
        <w:t xml:space="preserve">for marketing in the United States. These progress reports will be made for all development activities until the first SALE occurs in the United States. Each progress report will be a sufficiently detailed summary of activities of LICENSEE and any SUBLICENSEES so that REGENTS may evaluate and determine LICENSEE’s progress in development of LICENSED PRODUCTS, LICENSED SERVICES, and LICENSED METHODS, and in meeting its diligence obligations under Article 7 (Diligence), and will include (but not be limited to) the following: summary of work completed and in progress; current schedule of anticipated events and milestones, including diligence milestones under Paragraph 7.2; anticipated market introduction dates for the LICENSED TERRITORIES; </w:t>
      </w:r>
      <w:r>
        <w:rPr>
          <w:rFonts w:ascii="TimesNewRomanPSMT" w:hAnsi="TimesNewRomanPSMT"/>
          <w:color w:val="FF0000"/>
        </w:rPr>
        <w:t xml:space="preserve">status of implementation of the Affordable Access Plan </w:t>
      </w:r>
      <w:r>
        <w:rPr>
          <w:rFonts w:ascii="TimesNewRomanPSMT" w:hAnsi="TimesNewRomanPSMT"/>
        </w:rPr>
        <w:t xml:space="preserve">and SUBLICENSEE’s activities during the reporting period. LICENSEE also will report to REGENTS in its immediately subsequent progress and royalty reports, the date of first SALE. </w:t>
      </w:r>
    </w:p>
    <w:p w14:paraId="6ED85242" w14:textId="77777777" w:rsidR="00803821" w:rsidRDefault="00803821"/>
    <w:sectPr w:rsidR="00803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676"/>
    <w:multiLevelType w:val="multilevel"/>
    <w:tmpl w:val="BEF681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6B411F"/>
    <w:multiLevelType w:val="multilevel"/>
    <w:tmpl w:val="EE1AE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282889">
    <w:abstractNumId w:val="0"/>
  </w:num>
  <w:num w:numId="2" w16cid:durableId="84590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21"/>
    <w:rsid w:val="002F0FE7"/>
    <w:rsid w:val="00803821"/>
    <w:rsid w:val="00FF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11780E"/>
  <w15:chartTrackingRefBased/>
  <w15:docId w15:val="{57A428ED-DA6A-9C4E-9F28-0CF5CBB2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82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7379">
      <w:bodyDiv w:val="1"/>
      <w:marLeft w:val="0"/>
      <w:marRight w:val="0"/>
      <w:marTop w:val="0"/>
      <w:marBottom w:val="0"/>
      <w:divBdr>
        <w:top w:val="none" w:sz="0" w:space="0" w:color="auto"/>
        <w:left w:val="none" w:sz="0" w:space="0" w:color="auto"/>
        <w:bottom w:val="none" w:sz="0" w:space="0" w:color="auto"/>
        <w:right w:val="none" w:sz="0" w:space="0" w:color="auto"/>
      </w:divBdr>
      <w:divsChild>
        <w:div w:id="252395288">
          <w:marLeft w:val="0"/>
          <w:marRight w:val="0"/>
          <w:marTop w:val="0"/>
          <w:marBottom w:val="0"/>
          <w:divBdr>
            <w:top w:val="none" w:sz="0" w:space="0" w:color="auto"/>
            <w:left w:val="none" w:sz="0" w:space="0" w:color="auto"/>
            <w:bottom w:val="none" w:sz="0" w:space="0" w:color="auto"/>
            <w:right w:val="none" w:sz="0" w:space="0" w:color="auto"/>
          </w:divBdr>
          <w:divsChild>
            <w:div w:id="460849252">
              <w:marLeft w:val="0"/>
              <w:marRight w:val="0"/>
              <w:marTop w:val="0"/>
              <w:marBottom w:val="0"/>
              <w:divBdr>
                <w:top w:val="none" w:sz="0" w:space="0" w:color="auto"/>
                <w:left w:val="none" w:sz="0" w:space="0" w:color="auto"/>
                <w:bottom w:val="none" w:sz="0" w:space="0" w:color="auto"/>
                <w:right w:val="none" w:sz="0" w:space="0" w:color="auto"/>
              </w:divBdr>
              <w:divsChild>
                <w:div w:id="701900223">
                  <w:marLeft w:val="0"/>
                  <w:marRight w:val="0"/>
                  <w:marTop w:val="0"/>
                  <w:marBottom w:val="0"/>
                  <w:divBdr>
                    <w:top w:val="none" w:sz="0" w:space="0" w:color="auto"/>
                    <w:left w:val="none" w:sz="0" w:space="0" w:color="auto"/>
                    <w:bottom w:val="none" w:sz="0" w:space="0" w:color="auto"/>
                    <w:right w:val="none" w:sz="0" w:space="0" w:color="auto"/>
                  </w:divBdr>
                </w:div>
              </w:divsChild>
            </w:div>
            <w:div w:id="717246364">
              <w:marLeft w:val="0"/>
              <w:marRight w:val="0"/>
              <w:marTop w:val="0"/>
              <w:marBottom w:val="0"/>
              <w:divBdr>
                <w:top w:val="none" w:sz="0" w:space="0" w:color="auto"/>
                <w:left w:val="none" w:sz="0" w:space="0" w:color="auto"/>
                <w:bottom w:val="none" w:sz="0" w:space="0" w:color="auto"/>
                <w:right w:val="none" w:sz="0" w:space="0" w:color="auto"/>
              </w:divBdr>
              <w:divsChild>
                <w:div w:id="169148974">
                  <w:marLeft w:val="0"/>
                  <w:marRight w:val="0"/>
                  <w:marTop w:val="0"/>
                  <w:marBottom w:val="0"/>
                  <w:divBdr>
                    <w:top w:val="none" w:sz="0" w:space="0" w:color="auto"/>
                    <w:left w:val="none" w:sz="0" w:space="0" w:color="auto"/>
                    <w:bottom w:val="none" w:sz="0" w:space="0" w:color="auto"/>
                    <w:right w:val="none" w:sz="0" w:space="0" w:color="auto"/>
                  </w:divBdr>
                </w:div>
              </w:divsChild>
            </w:div>
            <w:div w:id="1971742811">
              <w:marLeft w:val="0"/>
              <w:marRight w:val="0"/>
              <w:marTop w:val="0"/>
              <w:marBottom w:val="0"/>
              <w:divBdr>
                <w:top w:val="none" w:sz="0" w:space="0" w:color="auto"/>
                <w:left w:val="none" w:sz="0" w:space="0" w:color="auto"/>
                <w:bottom w:val="none" w:sz="0" w:space="0" w:color="auto"/>
                <w:right w:val="none" w:sz="0" w:space="0" w:color="auto"/>
              </w:divBdr>
              <w:divsChild>
                <w:div w:id="8562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2105">
          <w:marLeft w:val="0"/>
          <w:marRight w:val="0"/>
          <w:marTop w:val="0"/>
          <w:marBottom w:val="0"/>
          <w:divBdr>
            <w:top w:val="none" w:sz="0" w:space="0" w:color="auto"/>
            <w:left w:val="none" w:sz="0" w:space="0" w:color="auto"/>
            <w:bottom w:val="none" w:sz="0" w:space="0" w:color="auto"/>
            <w:right w:val="none" w:sz="0" w:space="0" w:color="auto"/>
          </w:divBdr>
          <w:divsChild>
            <w:div w:id="1197620940">
              <w:marLeft w:val="0"/>
              <w:marRight w:val="0"/>
              <w:marTop w:val="0"/>
              <w:marBottom w:val="0"/>
              <w:divBdr>
                <w:top w:val="none" w:sz="0" w:space="0" w:color="auto"/>
                <w:left w:val="none" w:sz="0" w:space="0" w:color="auto"/>
                <w:bottom w:val="none" w:sz="0" w:space="0" w:color="auto"/>
                <w:right w:val="none" w:sz="0" w:space="0" w:color="auto"/>
              </w:divBdr>
              <w:divsChild>
                <w:div w:id="696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29948">
      <w:bodyDiv w:val="1"/>
      <w:marLeft w:val="0"/>
      <w:marRight w:val="0"/>
      <w:marTop w:val="0"/>
      <w:marBottom w:val="0"/>
      <w:divBdr>
        <w:top w:val="none" w:sz="0" w:space="0" w:color="auto"/>
        <w:left w:val="none" w:sz="0" w:space="0" w:color="auto"/>
        <w:bottom w:val="none" w:sz="0" w:space="0" w:color="auto"/>
        <w:right w:val="none" w:sz="0" w:space="0" w:color="auto"/>
      </w:divBdr>
      <w:divsChild>
        <w:div w:id="539976801">
          <w:marLeft w:val="0"/>
          <w:marRight w:val="0"/>
          <w:marTop w:val="0"/>
          <w:marBottom w:val="0"/>
          <w:divBdr>
            <w:top w:val="none" w:sz="0" w:space="0" w:color="auto"/>
            <w:left w:val="none" w:sz="0" w:space="0" w:color="auto"/>
            <w:bottom w:val="none" w:sz="0" w:space="0" w:color="auto"/>
            <w:right w:val="none" w:sz="0" w:space="0" w:color="auto"/>
          </w:divBdr>
          <w:divsChild>
            <w:div w:id="1546331326">
              <w:marLeft w:val="0"/>
              <w:marRight w:val="0"/>
              <w:marTop w:val="0"/>
              <w:marBottom w:val="0"/>
              <w:divBdr>
                <w:top w:val="none" w:sz="0" w:space="0" w:color="auto"/>
                <w:left w:val="none" w:sz="0" w:space="0" w:color="auto"/>
                <w:bottom w:val="none" w:sz="0" w:space="0" w:color="auto"/>
                <w:right w:val="none" w:sz="0" w:space="0" w:color="auto"/>
              </w:divBdr>
              <w:divsChild>
                <w:div w:id="4766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Goldman</dc:creator>
  <cp:keywords/>
  <dc:description/>
  <cp:lastModifiedBy>Andy Goldman</cp:lastModifiedBy>
  <cp:revision>1</cp:revision>
  <dcterms:created xsi:type="dcterms:W3CDTF">2023-10-23T16:03:00Z</dcterms:created>
  <dcterms:modified xsi:type="dcterms:W3CDTF">2023-10-23T16:08:00Z</dcterms:modified>
</cp:coreProperties>
</file>