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0B445" w14:textId="6C5EF5FD" w:rsidR="00476FED" w:rsidRPr="003127FB" w:rsidRDefault="00476FED" w:rsidP="003127FB">
      <w:pPr>
        <w:widowControl w:val="0"/>
        <w:tabs>
          <w:tab w:val="left" w:pos="1199"/>
        </w:tabs>
        <w:autoSpaceDE w:val="0"/>
        <w:autoSpaceDN w:val="0"/>
        <w:spacing w:before="280" w:after="0" w:line="240" w:lineRule="auto"/>
        <w:rPr>
          <w:b/>
          <w:color w:val="000000" w:themeColor="text1"/>
        </w:rPr>
      </w:pPr>
      <w:r w:rsidRPr="003127FB">
        <w:rPr>
          <w:b/>
          <w:color w:val="000000" w:themeColor="text1"/>
          <w:u w:val="single" w:color="0000FF"/>
        </w:rPr>
        <w:t>Modèle</w:t>
      </w:r>
      <w:r w:rsidRPr="003127FB">
        <w:rPr>
          <w:b/>
          <w:color w:val="000000" w:themeColor="text1"/>
          <w:spacing w:val="-1"/>
          <w:u w:val="single" w:color="0000FF"/>
        </w:rPr>
        <w:t xml:space="preserve"> </w:t>
      </w:r>
      <w:r w:rsidRPr="003127FB">
        <w:rPr>
          <w:b/>
          <w:color w:val="000000" w:themeColor="text1"/>
          <w:u w:val="single" w:color="0000FF"/>
        </w:rPr>
        <w:t>UC</w:t>
      </w:r>
      <w:r w:rsidRPr="003127FB">
        <w:rPr>
          <w:b/>
          <w:color w:val="000000" w:themeColor="text1"/>
          <w:spacing w:val="-1"/>
          <w:u w:val="single" w:color="0000FF"/>
        </w:rPr>
        <w:t xml:space="preserve"> </w:t>
      </w:r>
      <w:r w:rsidRPr="003127FB">
        <w:rPr>
          <w:b/>
          <w:color w:val="000000" w:themeColor="text1"/>
          <w:spacing w:val="-2"/>
          <w:u w:val="single" w:color="0000FF"/>
        </w:rPr>
        <w:t>Berkeley</w:t>
      </w:r>
    </w:p>
    <w:p w14:paraId="6FC0877E" w14:textId="77777777" w:rsidR="00476FED" w:rsidRDefault="00476FED" w:rsidP="00476FED">
      <w:pPr>
        <w:pStyle w:val="BodyText"/>
        <w:spacing w:before="109"/>
        <w:rPr>
          <w:b/>
        </w:rPr>
      </w:pPr>
    </w:p>
    <w:p w14:paraId="481AD11A" w14:textId="77777777" w:rsidR="00476FED" w:rsidRPr="003127FB" w:rsidRDefault="00476FED" w:rsidP="00476FED">
      <w:pPr>
        <w:pStyle w:val="BodyText"/>
        <w:ind w:left="259" w:right="357"/>
        <w:rPr>
          <w:rFonts w:ascii="TimesNewRomanPSMT" w:eastAsia="Times New Roman" w:hAnsi="TimesNewRomanPSMT" w:cs="Times New Roman"/>
          <w:lang w:val="en-US"/>
        </w:rPr>
      </w:pPr>
      <w:r w:rsidRPr="003127FB">
        <w:rPr>
          <w:rFonts w:ascii="TimesNewRomanPSMT" w:eastAsia="Times New Roman" w:hAnsi="TimesNewRomanPSMT" w:cs="Times New Roman"/>
          <w:lang w:val="en-US"/>
        </w:rPr>
        <w:t>4.9 Plan pour un accès abordable. Au cours des trois (3) mois suivant l’autorisation par la FDA (ou tout autre organisme étranger équivalent) de mettre sur le marché un PRODUIT SOUS LICENCE, le BÉNÉFICIAIRE DE LICENCE</w:t>
      </w:r>
    </w:p>
    <w:p w14:paraId="47D4B4AD" w14:textId="77777777" w:rsidR="00476FED" w:rsidRPr="003127FB" w:rsidRDefault="00476FED" w:rsidP="00476FED">
      <w:pPr>
        <w:pStyle w:val="BodyText"/>
        <w:spacing w:before="1"/>
        <w:ind w:left="259" w:right="359"/>
        <w:rPr>
          <w:rFonts w:ascii="TimesNewRomanPSMT" w:eastAsia="Times New Roman" w:hAnsi="TimesNewRomanPSMT" w:cs="Times New Roman"/>
          <w:lang w:val="en-US"/>
        </w:rPr>
      </w:pPr>
      <w:proofErr w:type="gramStart"/>
      <w:r w:rsidRPr="003127FB">
        <w:rPr>
          <w:rFonts w:ascii="TimesNewRomanPSMT" w:eastAsia="Times New Roman" w:hAnsi="TimesNewRomanPSMT" w:cs="Times New Roman"/>
          <w:lang w:val="en-US"/>
        </w:rPr>
        <w:t>soumettra</w:t>
      </w:r>
      <w:proofErr w:type="gramEnd"/>
      <w:r w:rsidRPr="003127FB">
        <w:rPr>
          <w:rFonts w:ascii="TimesNewRomanPSMT" w:eastAsia="Times New Roman" w:hAnsi="TimesNewRomanPSMT" w:cs="Times New Roman"/>
          <w:lang w:val="en-US"/>
        </w:rPr>
        <w:t xml:space="preserve"> au CONSEIL D’ADMINISTRATION soit a) un Plan pour un accès abordable (défini ci-dessous), soit b) un exposé écrit des motifs pour lesquels un tel plan n’est pas nécessaire ou réalisable. Dans le cas b), le BÉNÉFICIAIRE DE LICENCE s’engage à discuter en toute bonne foi des motifs invoqués avec le CONSEIL D’ADMINISTRATION dans un délai d’un (1) mois (ci-après, la « Discussion initiale ») ; si, à l’issue de cette discussion, le CONSEIL D’ADMINISTRATION considère qu’il est raisonnable et souhaitable qu’un Plan pour un accès abordable soit établi, le BÉNÉFICIAIRE DE LICENCE s’engage à le lui fournir dans un délai de trois (3) mois après la Discussion initiale. Le Plan pour un accès abordable inclut les plans du BÉNÉFICIAIRE DE LICENCE et/ou de ses BÉNÉFICIAIRES DE SOUS- LICENCE (y compris ses stratégies et calendriers) raisonnablement destinés à favoriser un accès abordable dans a) les pays à revenus faible et intermédiaire, tels que définis par le Groupe de la Banque mondiale et parmi b) les populations vulnérables ou mal desservies et les personnes à besoins particuliers aux États- Unis, telles que définies par le Département de la santé et des services sociaux, notamment grâce à l’octroi de licences ou à des partenariats avec, entre autres, des organisations à but non lucratif. Lorsque ledit Plan pour un accès abordable contient des informations de nature confidentielle, le BÉNÉFICIAIRE DE LICENCE fournira également une version non confidentielle ou un extrait que le CONSEIL D’ADMINISTRATION pourra transmettre à des tiers. Le Plan pour un accès abordable contiendra les informations suivantes :</w:t>
      </w:r>
    </w:p>
    <w:p w14:paraId="46242FB5" w14:textId="77777777" w:rsidR="00476FED" w:rsidRPr="003127FB" w:rsidRDefault="00476FED" w:rsidP="00476FED">
      <w:pPr>
        <w:pStyle w:val="BodyText"/>
        <w:spacing w:before="2"/>
        <w:rPr>
          <w:rFonts w:ascii="TimesNewRomanPSMT" w:eastAsia="Times New Roman" w:hAnsi="TimesNewRomanPSMT" w:cs="Times New Roman"/>
          <w:lang w:val="en-US"/>
        </w:rPr>
      </w:pPr>
    </w:p>
    <w:p w14:paraId="75470AF1" w14:textId="77777777" w:rsidR="00476FED" w:rsidRPr="003127FB" w:rsidRDefault="00476FED" w:rsidP="00476FED">
      <w:pPr>
        <w:pStyle w:val="ListParagraph"/>
        <w:widowControl w:val="0"/>
        <w:numPr>
          <w:ilvl w:val="0"/>
          <w:numId w:val="1"/>
        </w:numPr>
        <w:tabs>
          <w:tab w:val="left" w:pos="554"/>
        </w:tabs>
        <w:autoSpaceDE w:val="0"/>
        <w:autoSpaceDN w:val="0"/>
        <w:spacing w:after="0" w:line="240" w:lineRule="auto"/>
        <w:ind w:right="1129" w:firstLine="0"/>
        <w:contextualSpacing w:val="0"/>
        <w:rPr>
          <w:rFonts w:ascii="TimesNewRomanPSMT" w:eastAsia="Times New Roman" w:hAnsi="TimesNewRomanPSMT" w:cs="Times New Roman"/>
          <w:kern w:val="0"/>
          <w:lang w:val="en-US"/>
          <w14:ligatures w14:val="none"/>
        </w:rPr>
      </w:pPr>
      <w:r w:rsidRPr="003127FB">
        <w:rPr>
          <w:rFonts w:ascii="TimesNewRomanPSMT" w:eastAsia="Times New Roman" w:hAnsi="TimesNewRomanPSMT" w:cs="Times New Roman"/>
          <w:kern w:val="0"/>
          <w:lang w:val="en-US"/>
          <w14:ligatures w14:val="none"/>
        </w:rPr>
        <w:t>Un ensemble défini de pays à revenus faible et intermédiaire dans lesquels le BÉNÉFICIAIRE DE LICENCE ne prévoit pas de commercialiser les PRODUITS SOUS LICENCE (le « Territoire non concerné ») ;</w:t>
      </w:r>
    </w:p>
    <w:p w14:paraId="417BB7BC" w14:textId="77777777" w:rsidR="00476FED" w:rsidRPr="003127FB" w:rsidRDefault="00476FED" w:rsidP="00476FED">
      <w:pPr>
        <w:pStyle w:val="BodyText"/>
        <w:spacing w:before="7"/>
        <w:rPr>
          <w:rFonts w:ascii="TimesNewRomanPSMT" w:eastAsia="Times New Roman" w:hAnsi="TimesNewRomanPSMT" w:cs="Times New Roman"/>
          <w:lang w:val="en-US"/>
        </w:rPr>
      </w:pPr>
    </w:p>
    <w:p w14:paraId="42448EA0" w14:textId="77777777" w:rsidR="00476FED" w:rsidRPr="003127FB" w:rsidRDefault="00476FED" w:rsidP="00476FED">
      <w:pPr>
        <w:pStyle w:val="ListParagraph"/>
        <w:widowControl w:val="0"/>
        <w:numPr>
          <w:ilvl w:val="0"/>
          <w:numId w:val="1"/>
        </w:numPr>
        <w:tabs>
          <w:tab w:val="left" w:pos="563"/>
        </w:tabs>
        <w:autoSpaceDE w:val="0"/>
        <w:autoSpaceDN w:val="0"/>
        <w:spacing w:after="0" w:line="240" w:lineRule="auto"/>
        <w:ind w:right="1063" w:firstLine="0"/>
        <w:contextualSpacing w:val="0"/>
        <w:rPr>
          <w:rFonts w:ascii="TimesNewRomanPSMT" w:eastAsia="Times New Roman" w:hAnsi="TimesNewRomanPSMT" w:cs="Times New Roman"/>
          <w:kern w:val="0"/>
          <w:lang w:val="en-US"/>
          <w14:ligatures w14:val="none"/>
        </w:rPr>
      </w:pPr>
      <w:r w:rsidRPr="003127FB">
        <w:rPr>
          <w:rFonts w:ascii="TimesNewRomanPSMT" w:eastAsia="Times New Roman" w:hAnsi="TimesNewRomanPSMT" w:cs="Times New Roman"/>
          <w:kern w:val="0"/>
          <w:lang w:val="en-US"/>
          <w14:ligatures w14:val="none"/>
        </w:rPr>
        <w:t>Les plans du BÉNÉFICIAIRE DE LICENCE et/ou de ses BÉNÉFICIAIRES DE SOUS-LICENCE (y compris ses stratégies et calendriers) raisonnablement destinés à favoriser un accès abordable dans les pays à revenus faible et intermédiaire et le Territoire non concerné, notamment grâce à l’octroi de licences ou à des partenariats avec, entre autres, des organisations à but non lucratif ;</w:t>
      </w:r>
    </w:p>
    <w:p w14:paraId="5B20561B" w14:textId="77777777" w:rsidR="00476FED" w:rsidRPr="003127FB" w:rsidRDefault="00476FED" w:rsidP="00476FED">
      <w:pPr>
        <w:pStyle w:val="ListParagraph"/>
        <w:widowControl w:val="0"/>
        <w:numPr>
          <w:ilvl w:val="0"/>
          <w:numId w:val="1"/>
        </w:numPr>
        <w:tabs>
          <w:tab w:val="left" w:pos="544"/>
        </w:tabs>
        <w:autoSpaceDE w:val="0"/>
        <w:autoSpaceDN w:val="0"/>
        <w:spacing w:before="280" w:after="0" w:line="240" w:lineRule="auto"/>
        <w:ind w:right="400" w:firstLine="0"/>
        <w:contextualSpacing w:val="0"/>
        <w:rPr>
          <w:rFonts w:ascii="TimesNewRomanPSMT" w:eastAsia="Times New Roman" w:hAnsi="TimesNewRomanPSMT" w:cs="Times New Roman"/>
          <w:kern w:val="0"/>
          <w:lang w:val="en-US"/>
          <w14:ligatures w14:val="none"/>
        </w:rPr>
      </w:pPr>
      <w:r w:rsidRPr="003127FB">
        <w:rPr>
          <w:rFonts w:ascii="TimesNewRomanPSMT" w:eastAsia="Times New Roman" w:hAnsi="TimesNewRomanPSMT" w:cs="Times New Roman"/>
          <w:kern w:val="0"/>
          <w:lang w:val="en-US"/>
          <w14:ligatures w14:val="none"/>
        </w:rPr>
        <w:t>Les plans du BÉNÉFICIAIRE DE LICENCE et/ou de ses BÉNÉFICIAIRES DE SOUS- LICENCE (y compris ses stratégies et calendriers) raisonnablement destinés à favoriser un accès abordable parmi les populations vulnérables ou mal desservies et les personnes à besoins particuliers aux États-Unis.</w:t>
      </w:r>
    </w:p>
    <w:p w14:paraId="02943CAE" w14:textId="77777777" w:rsidR="00476FED" w:rsidRPr="003127FB" w:rsidRDefault="00476FED" w:rsidP="00476FED">
      <w:pPr>
        <w:pStyle w:val="BodyText"/>
        <w:spacing w:before="4"/>
        <w:rPr>
          <w:rFonts w:ascii="TimesNewRomanPSMT" w:eastAsia="Times New Roman" w:hAnsi="TimesNewRomanPSMT" w:cs="Times New Roman"/>
          <w:lang w:val="en-US"/>
        </w:rPr>
      </w:pPr>
    </w:p>
    <w:p w14:paraId="0BE87DC9" w14:textId="77777777" w:rsidR="00476FED" w:rsidRPr="003127FB" w:rsidRDefault="00476FED" w:rsidP="00476FED">
      <w:pPr>
        <w:pStyle w:val="BodyText"/>
        <w:spacing w:line="280" w:lineRule="exact"/>
        <w:ind w:left="259"/>
        <w:rPr>
          <w:rFonts w:ascii="TimesNewRomanPSMT" w:eastAsia="Times New Roman" w:hAnsi="TimesNewRomanPSMT" w:cs="Times New Roman"/>
          <w:lang w:val="en-US"/>
        </w:rPr>
      </w:pPr>
      <w:r w:rsidRPr="003127FB">
        <w:rPr>
          <w:rFonts w:ascii="TimesNewRomanPSMT" w:eastAsia="Times New Roman" w:hAnsi="TimesNewRomanPSMT" w:cs="Times New Roman"/>
          <w:lang w:val="en-US"/>
        </w:rPr>
        <w:t>À la demande du CONSEIL D’ADMINISTRATION et dans un délai de trente</w:t>
      </w:r>
    </w:p>
    <w:p w14:paraId="656E29D4" w14:textId="77777777" w:rsidR="00476FED" w:rsidRPr="003127FB" w:rsidRDefault="00476FED" w:rsidP="00476FED">
      <w:pPr>
        <w:pStyle w:val="BodyText"/>
        <w:ind w:left="259"/>
        <w:rPr>
          <w:rFonts w:ascii="TimesNewRomanPSMT" w:eastAsia="Times New Roman" w:hAnsi="TimesNewRomanPSMT" w:cs="Times New Roman"/>
          <w:lang w:val="en-US"/>
        </w:rPr>
      </w:pPr>
      <w:r w:rsidRPr="003127FB">
        <w:rPr>
          <w:rFonts w:ascii="TimesNewRomanPSMT" w:eastAsia="Times New Roman" w:hAnsi="TimesNewRomanPSMT" w:cs="Times New Roman"/>
          <w:lang w:val="en-US"/>
        </w:rPr>
        <w:t>(30) jours (mais pas plus d’une fois par an), le BÉNÉFICIAIRE DE LICENCE s’engage à faire le point avec le CONSEIL D’ADMINISTRATION sur les progrès accomplis, et à envisager en toute bonne foi les éventuels changements suggérés par le CONSEIL D’ADMINISTRATION concernant le Plan pour un accès abordable (ci-après, la</w:t>
      </w:r>
    </w:p>
    <w:p w14:paraId="4E478A73" w14:textId="77777777" w:rsidR="00476FED" w:rsidRPr="003127FB" w:rsidRDefault="00476FED" w:rsidP="00476FED">
      <w:pPr>
        <w:pStyle w:val="BodyText"/>
        <w:ind w:left="259" w:right="357"/>
        <w:rPr>
          <w:rFonts w:ascii="TimesNewRomanPSMT" w:eastAsia="Times New Roman" w:hAnsi="TimesNewRomanPSMT" w:cs="Times New Roman"/>
          <w:lang w:val="en-US"/>
        </w:rPr>
      </w:pPr>
      <w:r w:rsidRPr="003127FB">
        <w:rPr>
          <w:rFonts w:ascii="TimesNewRomanPSMT" w:eastAsia="Times New Roman" w:hAnsi="TimesNewRomanPSMT" w:cs="Times New Roman"/>
          <w:lang w:val="en-US"/>
        </w:rPr>
        <w:t xml:space="preserve">« Discussion relative aux progrès »). Il convient de préciser que, si le CONSEIL </w:t>
      </w:r>
      <w:r w:rsidRPr="003127FB">
        <w:rPr>
          <w:rFonts w:ascii="TimesNewRomanPSMT" w:eastAsia="Times New Roman" w:hAnsi="TimesNewRomanPSMT" w:cs="Times New Roman"/>
          <w:lang w:val="en-US"/>
        </w:rPr>
        <w:lastRenderedPageBreak/>
        <w:t>D’ADMINISTRATION peut inviter une entité désignée à participer à la Discussion initiale et/ou à la Discussion relative aux progrès définies dans le présent paragraphe 4.9, ces discussions resteront soumises à tout moment aux obligations de confidentialité énoncées à l’article 25 (Confidentialité).</w:t>
      </w:r>
    </w:p>
    <w:p w14:paraId="712E3FB1" w14:textId="29972EDA" w:rsidR="00476FED" w:rsidRPr="003127FB" w:rsidRDefault="00476FED" w:rsidP="00476FED">
      <w:pPr>
        <w:pStyle w:val="BodyText"/>
        <w:spacing w:line="280" w:lineRule="exact"/>
        <w:ind w:left="259"/>
        <w:rPr>
          <w:rFonts w:ascii="TimesNewRomanPSMT" w:eastAsia="Times New Roman" w:hAnsi="TimesNewRomanPSMT" w:cs="Times New Roman"/>
          <w:lang w:val="en-US"/>
        </w:rPr>
      </w:pPr>
    </w:p>
    <w:p w14:paraId="5906780E" w14:textId="77777777" w:rsidR="00476FED" w:rsidRDefault="00476FED" w:rsidP="00476FED">
      <w:pPr>
        <w:pStyle w:val="BodyText"/>
        <w:spacing w:line="280" w:lineRule="exact"/>
        <w:ind w:left="259"/>
      </w:pPr>
    </w:p>
    <w:p w14:paraId="6FFAD731" w14:textId="77777777" w:rsidR="00476FED" w:rsidRPr="003127FB" w:rsidRDefault="00476FED" w:rsidP="003127FB">
      <w:pPr>
        <w:pStyle w:val="NormalWeb"/>
        <w:numPr>
          <w:ilvl w:val="0"/>
          <w:numId w:val="3"/>
        </w:numPr>
        <w:ind w:left="0" w:firstLine="0"/>
        <w:rPr>
          <w:rFonts w:ascii="TimesNewRomanPS" w:hAnsi="TimesNewRomanPS"/>
          <w:b/>
          <w:bCs/>
        </w:rPr>
      </w:pPr>
      <w:r w:rsidRPr="003127FB">
        <w:rPr>
          <w:rFonts w:ascii="TimesNewRomanPS" w:hAnsi="TimesNewRomanPS"/>
          <w:b/>
          <w:bCs/>
        </w:rPr>
        <w:t>RAPPORTS DE SITUATION ET SUR LES REDEVANCES</w:t>
      </w:r>
    </w:p>
    <w:p w14:paraId="051E7807" w14:textId="77777777" w:rsidR="00476FED" w:rsidRDefault="00476FED" w:rsidP="00476FED">
      <w:pPr>
        <w:pStyle w:val="BodyText"/>
        <w:spacing w:before="4"/>
        <w:rPr>
          <w:b/>
        </w:rPr>
      </w:pPr>
    </w:p>
    <w:p w14:paraId="7CEF5684" w14:textId="77777777" w:rsidR="00476FED" w:rsidRPr="003127FB" w:rsidRDefault="00476FED" w:rsidP="00476FED">
      <w:pPr>
        <w:pStyle w:val="ListParagraph"/>
        <w:widowControl w:val="0"/>
        <w:numPr>
          <w:ilvl w:val="1"/>
          <w:numId w:val="3"/>
        </w:numPr>
        <w:tabs>
          <w:tab w:val="left" w:pos="1328"/>
        </w:tabs>
        <w:autoSpaceDE w:val="0"/>
        <w:autoSpaceDN w:val="0"/>
        <w:spacing w:after="0" w:line="240" w:lineRule="auto"/>
        <w:ind w:right="408" w:firstLine="0"/>
        <w:contextualSpacing w:val="0"/>
        <w:rPr>
          <w:rFonts w:ascii="TimesNewRomanPSMT" w:eastAsia="Times New Roman" w:hAnsi="TimesNewRomanPSMT" w:cs="Times New Roman"/>
          <w:kern w:val="0"/>
          <w:lang w:val="en-US"/>
          <w14:ligatures w14:val="none"/>
        </w:rPr>
      </w:pPr>
      <w:r w:rsidRPr="003127FB">
        <w:rPr>
          <w:rFonts w:ascii="TimesNewRomanPSMT" w:eastAsia="Times New Roman" w:hAnsi="TimesNewRomanPSMT" w:cs="Times New Roman"/>
          <w:kern w:val="0"/>
          <w:lang w:val="en-US"/>
          <w14:ligatures w14:val="none"/>
        </w:rPr>
        <w:t>Rapports de situation. Au début de la période [Date], le BÉNÉFICIAIRE DE LICENCE présentera au CONSEIL D’ADMINISTRATION un rapport de situation semi-annuel concernant ses activités liées au développement de tous les PRODUITS SOUS LICENCE, SERVICES SOUS LICENCE et MÉTHODES</w:t>
      </w:r>
    </w:p>
    <w:p w14:paraId="04D70C14" w14:textId="77777777" w:rsidR="00476FED" w:rsidRPr="003127FB" w:rsidRDefault="00476FED" w:rsidP="00476FED">
      <w:pPr>
        <w:pStyle w:val="BodyText"/>
        <w:spacing w:before="2"/>
        <w:ind w:left="980" w:right="443"/>
        <w:rPr>
          <w:rFonts w:ascii="TimesNewRomanPSMT" w:eastAsia="Times New Roman" w:hAnsi="TimesNewRomanPSMT" w:cs="Times New Roman"/>
          <w:lang w:val="en-US"/>
        </w:rPr>
      </w:pPr>
      <w:r w:rsidRPr="003127FB">
        <w:rPr>
          <w:rFonts w:ascii="TimesNewRomanPSMT" w:eastAsia="Times New Roman" w:hAnsi="TimesNewRomanPSMT" w:cs="Times New Roman"/>
          <w:lang w:val="en-US"/>
        </w:rPr>
        <w:t>SOUS LICENCE et aux essais menés sur ceux-ci, et incluant les autorisations gouvernementales nécessaires, le cas échéant, à une mise sur le marché aux États-Unis. Ces rapports de situation seront élaborés pour toutes les activités de développement jusqu’à la première VENTE sur le territoire des États-Unis. Chaque rapport de situation comportera un résumé suffisamment détaillé des activités du BÉNÉFICIAIRE DE LICENCE et de ses BÉNÉFICIAIRES DE SOUS-LICENCE, qui permettra au CONSEIL</w:t>
      </w:r>
    </w:p>
    <w:p w14:paraId="48F71423" w14:textId="77777777" w:rsidR="00476FED" w:rsidRPr="003127FB" w:rsidRDefault="00476FED" w:rsidP="00476FED">
      <w:pPr>
        <w:pStyle w:val="BodyText"/>
        <w:ind w:left="980" w:right="193"/>
        <w:rPr>
          <w:rFonts w:ascii="TimesNewRomanPSMT" w:eastAsia="Times New Roman" w:hAnsi="TimesNewRomanPSMT" w:cs="Times New Roman"/>
          <w:lang w:val="en-US"/>
        </w:rPr>
      </w:pPr>
      <w:r w:rsidRPr="003127FB">
        <w:rPr>
          <w:rFonts w:ascii="TimesNewRomanPSMT" w:eastAsia="Times New Roman" w:hAnsi="TimesNewRomanPSMT" w:cs="Times New Roman"/>
          <w:lang w:val="en-US"/>
        </w:rPr>
        <w:t>D’ADMINISTRATION d’évaluer et de déterminer les progrès accomplis par le BÉNÉFICIAIRE DE LICENCE concernant le développement des PRODUITS SOUS LICENCE, des SERVICES SOUS LICENCE et des MÉTHODES SOUS</w:t>
      </w:r>
    </w:p>
    <w:p w14:paraId="49CC5762" w14:textId="77777777" w:rsidR="00476FED" w:rsidRPr="003127FB" w:rsidRDefault="00476FED" w:rsidP="00476FED">
      <w:pPr>
        <w:pStyle w:val="BodyText"/>
        <w:ind w:left="980" w:right="357"/>
        <w:rPr>
          <w:rFonts w:ascii="TimesNewRomanPSMT" w:eastAsia="Times New Roman" w:hAnsi="TimesNewRomanPSMT" w:cs="Times New Roman"/>
          <w:lang w:val="en-US"/>
        </w:rPr>
      </w:pPr>
      <w:r w:rsidRPr="003127FB">
        <w:rPr>
          <w:rFonts w:ascii="TimesNewRomanPSMT" w:eastAsia="Times New Roman" w:hAnsi="TimesNewRomanPSMT" w:cs="Times New Roman"/>
          <w:lang w:val="en-US"/>
        </w:rPr>
        <w:t xml:space="preserve">LICENCE et l’exécution des obligations en matière de diligence prévues par l’article 7 (Diligence), ainsi que (entre autres) les informations suivantes : résumé des travaux accomplis et en cours ; calendrier des événements et étapes prévus, y compris les étapes en matière de diligence prévues au paragraphe 7.2 ; dates de mise sur le marché prévues sur les TERRITOIRES CONCERNÉS PAR LA LICENCE ; état d’avancement de la mise en œuvre du Plan pour un accès abordable et activités des BÉNÉFICIAIRES DE SOUS- LICENCE pendant la période concernée. Le BÉNÉFICIAIRE DE LICENCE communiquera également au CONSEIL D’ADMINISTRATION, dans ses rapports de situation et sur </w:t>
      </w:r>
      <w:proofErr w:type="gramStart"/>
      <w:r w:rsidRPr="003127FB">
        <w:rPr>
          <w:rFonts w:ascii="TimesNewRomanPSMT" w:eastAsia="Times New Roman" w:hAnsi="TimesNewRomanPSMT" w:cs="Times New Roman"/>
          <w:lang w:val="en-US"/>
        </w:rPr>
        <w:t>les redevances ultérieurs</w:t>
      </w:r>
      <w:proofErr w:type="gramEnd"/>
      <w:r w:rsidRPr="003127FB">
        <w:rPr>
          <w:rFonts w:ascii="TimesNewRomanPSMT" w:eastAsia="Times New Roman" w:hAnsi="TimesNewRomanPSMT" w:cs="Times New Roman"/>
          <w:lang w:val="en-US"/>
        </w:rPr>
        <w:t>, la date de la première VENTE.</w:t>
      </w:r>
    </w:p>
    <w:p w14:paraId="5D028E96" w14:textId="77777777" w:rsidR="00476FED" w:rsidRDefault="00476FED" w:rsidP="00476FED">
      <w:pPr>
        <w:pStyle w:val="BodyText"/>
        <w:spacing w:line="280" w:lineRule="exact"/>
        <w:ind w:left="259"/>
      </w:pPr>
    </w:p>
    <w:p w14:paraId="311F0EEE" w14:textId="77777777" w:rsidR="00925451" w:rsidRPr="00476FED" w:rsidRDefault="00925451">
      <w:pPr>
        <w:rPr>
          <w:lang w:val="fr-FR"/>
        </w:rPr>
      </w:pPr>
    </w:p>
    <w:sectPr w:rsidR="00925451" w:rsidRPr="00476F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90DD0"/>
    <w:multiLevelType w:val="hybridMultilevel"/>
    <w:tmpl w:val="3BB61A8C"/>
    <w:lvl w:ilvl="0" w:tplc="DDD4A0DC">
      <w:start w:val="1"/>
      <w:numFmt w:val="lowerLetter"/>
      <w:lvlText w:val="%1)"/>
      <w:lvlJc w:val="left"/>
      <w:pPr>
        <w:ind w:left="259" w:hanging="296"/>
        <w:jc w:val="left"/>
      </w:pPr>
      <w:rPr>
        <w:rFonts w:ascii="Times New Roman" w:eastAsia="Times New Roman" w:hAnsi="Times New Roman" w:cs="Times New Roman" w:hint="default"/>
        <w:b w:val="0"/>
        <w:bCs w:val="0"/>
        <w:i w:val="0"/>
        <w:iCs w:val="0"/>
        <w:spacing w:val="-1"/>
        <w:w w:val="100"/>
        <w:sz w:val="20"/>
        <w:szCs w:val="20"/>
        <w:lang w:val="fr-FR" w:eastAsia="en-US" w:bidi="ar-SA"/>
      </w:rPr>
    </w:lvl>
    <w:lvl w:ilvl="1" w:tplc="899EE0A8">
      <w:numFmt w:val="bullet"/>
      <w:lvlText w:val="•"/>
      <w:lvlJc w:val="left"/>
      <w:pPr>
        <w:ind w:left="1148" w:hanging="296"/>
      </w:pPr>
      <w:rPr>
        <w:rFonts w:hint="default"/>
        <w:lang w:val="fr-FR" w:eastAsia="en-US" w:bidi="ar-SA"/>
      </w:rPr>
    </w:lvl>
    <w:lvl w:ilvl="2" w:tplc="461ADCF4">
      <w:numFmt w:val="bullet"/>
      <w:lvlText w:val="•"/>
      <w:lvlJc w:val="left"/>
      <w:pPr>
        <w:ind w:left="2037" w:hanging="296"/>
      </w:pPr>
      <w:rPr>
        <w:rFonts w:hint="default"/>
        <w:lang w:val="fr-FR" w:eastAsia="en-US" w:bidi="ar-SA"/>
      </w:rPr>
    </w:lvl>
    <w:lvl w:ilvl="3" w:tplc="0B120650">
      <w:numFmt w:val="bullet"/>
      <w:lvlText w:val="•"/>
      <w:lvlJc w:val="left"/>
      <w:pPr>
        <w:ind w:left="2925" w:hanging="296"/>
      </w:pPr>
      <w:rPr>
        <w:rFonts w:hint="default"/>
        <w:lang w:val="fr-FR" w:eastAsia="en-US" w:bidi="ar-SA"/>
      </w:rPr>
    </w:lvl>
    <w:lvl w:ilvl="4" w:tplc="A9B03290">
      <w:numFmt w:val="bullet"/>
      <w:lvlText w:val="•"/>
      <w:lvlJc w:val="left"/>
      <w:pPr>
        <w:ind w:left="3814" w:hanging="296"/>
      </w:pPr>
      <w:rPr>
        <w:rFonts w:hint="default"/>
        <w:lang w:val="fr-FR" w:eastAsia="en-US" w:bidi="ar-SA"/>
      </w:rPr>
    </w:lvl>
    <w:lvl w:ilvl="5" w:tplc="20781010">
      <w:numFmt w:val="bullet"/>
      <w:lvlText w:val="•"/>
      <w:lvlJc w:val="left"/>
      <w:pPr>
        <w:ind w:left="4702" w:hanging="296"/>
      </w:pPr>
      <w:rPr>
        <w:rFonts w:hint="default"/>
        <w:lang w:val="fr-FR" w:eastAsia="en-US" w:bidi="ar-SA"/>
      </w:rPr>
    </w:lvl>
    <w:lvl w:ilvl="6" w:tplc="84A2C25A">
      <w:numFmt w:val="bullet"/>
      <w:lvlText w:val="•"/>
      <w:lvlJc w:val="left"/>
      <w:pPr>
        <w:ind w:left="5591" w:hanging="296"/>
      </w:pPr>
      <w:rPr>
        <w:rFonts w:hint="default"/>
        <w:lang w:val="fr-FR" w:eastAsia="en-US" w:bidi="ar-SA"/>
      </w:rPr>
    </w:lvl>
    <w:lvl w:ilvl="7" w:tplc="9E86134E">
      <w:numFmt w:val="bullet"/>
      <w:lvlText w:val="•"/>
      <w:lvlJc w:val="left"/>
      <w:pPr>
        <w:ind w:left="6479" w:hanging="296"/>
      </w:pPr>
      <w:rPr>
        <w:rFonts w:hint="default"/>
        <w:lang w:val="fr-FR" w:eastAsia="en-US" w:bidi="ar-SA"/>
      </w:rPr>
    </w:lvl>
    <w:lvl w:ilvl="8" w:tplc="FA227CEC">
      <w:numFmt w:val="bullet"/>
      <w:lvlText w:val="•"/>
      <w:lvlJc w:val="left"/>
      <w:pPr>
        <w:ind w:left="7368" w:hanging="296"/>
      </w:pPr>
      <w:rPr>
        <w:rFonts w:hint="default"/>
        <w:lang w:val="fr-FR" w:eastAsia="en-US" w:bidi="ar-SA"/>
      </w:rPr>
    </w:lvl>
  </w:abstractNum>
  <w:abstractNum w:abstractNumId="1" w15:restartNumberingAfterBreak="0">
    <w:nsid w:val="2F0E6345"/>
    <w:multiLevelType w:val="hybridMultilevel"/>
    <w:tmpl w:val="23303F06"/>
    <w:lvl w:ilvl="0" w:tplc="4B800068">
      <w:start w:val="1"/>
      <w:numFmt w:val="upperRoman"/>
      <w:lvlText w:val="%1."/>
      <w:lvlJc w:val="left"/>
      <w:pPr>
        <w:ind w:left="1199" w:hanging="720"/>
        <w:jc w:val="left"/>
      </w:pPr>
      <w:rPr>
        <w:rFonts w:ascii="Cambria" w:eastAsia="Cambria" w:hAnsi="Cambria" w:cs="Cambria" w:hint="default"/>
        <w:b/>
        <w:bCs/>
        <w:i w:val="0"/>
        <w:iCs w:val="0"/>
        <w:spacing w:val="-1"/>
        <w:w w:val="100"/>
        <w:sz w:val="24"/>
        <w:szCs w:val="24"/>
        <w:lang w:val="fr-FR" w:eastAsia="en-US" w:bidi="ar-SA"/>
      </w:rPr>
    </w:lvl>
    <w:lvl w:ilvl="1" w:tplc="E5F22BC2">
      <w:numFmt w:val="bullet"/>
      <w:lvlText w:val=""/>
      <w:lvlJc w:val="left"/>
      <w:pPr>
        <w:ind w:left="980" w:hanging="361"/>
      </w:pPr>
      <w:rPr>
        <w:rFonts w:ascii="Symbol" w:eastAsia="Symbol" w:hAnsi="Symbol" w:cs="Symbol" w:hint="default"/>
        <w:b w:val="0"/>
        <w:bCs w:val="0"/>
        <w:i w:val="0"/>
        <w:iCs w:val="0"/>
        <w:spacing w:val="0"/>
        <w:w w:val="100"/>
        <w:sz w:val="24"/>
        <w:szCs w:val="24"/>
        <w:lang w:val="fr-FR" w:eastAsia="en-US" w:bidi="ar-SA"/>
      </w:rPr>
    </w:lvl>
    <w:lvl w:ilvl="2" w:tplc="F4B8C8C2">
      <w:start w:val="1"/>
      <w:numFmt w:val="upperLetter"/>
      <w:lvlText w:val="%3."/>
      <w:lvlJc w:val="left"/>
      <w:pPr>
        <w:ind w:left="1340" w:hanging="360"/>
        <w:jc w:val="left"/>
      </w:pPr>
      <w:rPr>
        <w:rFonts w:ascii="Cambria" w:eastAsia="Cambria" w:hAnsi="Cambria" w:cs="Cambria" w:hint="default"/>
        <w:b w:val="0"/>
        <w:bCs w:val="0"/>
        <w:i w:val="0"/>
        <w:iCs w:val="0"/>
        <w:spacing w:val="-1"/>
        <w:w w:val="100"/>
        <w:sz w:val="24"/>
        <w:szCs w:val="24"/>
        <w:lang w:val="fr-FR" w:eastAsia="en-US" w:bidi="ar-SA"/>
      </w:rPr>
    </w:lvl>
    <w:lvl w:ilvl="3" w:tplc="5DC4A236">
      <w:numFmt w:val="bullet"/>
      <w:lvlText w:val="•"/>
      <w:lvlJc w:val="left"/>
      <w:pPr>
        <w:ind w:left="2315" w:hanging="360"/>
      </w:pPr>
      <w:rPr>
        <w:rFonts w:hint="default"/>
        <w:lang w:val="fr-FR" w:eastAsia="en-US" w:bidi="ar-SA"/>
      </w:rPr>
    </w:lvl>
    <w:lvl w:ilvl="4" w:tplc="7A2AFC28">
      <w:numFmt w:val="bullet"/>
      <w:lvlText w:val="•"/>
      <w:lvlJc w:val="left"/>
      <w:pPr>
        <w:ind w:left="3291" w:hanging="360"/>
      </w:pPr>
      <w:rPr>
        <w:rFonts w:hint="default"/>
        <w:lang w:val="fr-FR" w:eastAsia="en-US" w:bidi="ar-SA"/>
      </w:rPr>
    </w:lvl>
    <w:lvl w:ilvl="5" w:tplc="34F87BAE">
      <w:numFmt w:val="bullet"/>
      <w:lvlText w:val="•"/>
      <w:lvlJc w:val="left"/>
      <w:pPr>
        <w:ind w:left="4267" w:hanging="360"/>
      </w:pPr>
      <w:rPr>
        <w:rFonts w:hint="default"/>
        <w:lang w:val="fr-FR" w:eastAsia="en-US" w:bidi="ar-SA"/>
      </w:rPr>
    </w:lvl>
    <w:lvl w:ilvl="6" w:tplc="23F039A6">
      <w:numFmt w:val="bullet"/>
      <w:lvlText w:val="•"/>
      <w:lvlJc w:val="left"/>
      <w:pPr>
        <w:ind w:left="5242" w:hanging="360"/>
      </w:pPr>
      <w:rPr>
        <w:rFonts w:hint="default"/>
        <w:lang w:val="fr-FR" w:eastAsia="en-US" w:bidi="ar-SA"/>
      </w:rPr>
    </w:lvl>
    <w:lvl w:ilvl="7" w:tplc="0D5E1114">
      <w:numFmt w:val="bullet"/>
      <w:lvlText w:val="•"/>
      <w:lvlJc w:val="left"/>
      <w:pPr>
        <w:ind w:left="6218" w:hanging="360"/>
      </w:pPr>
      <w:rPr>
        <w:rFonts w:hint="default"/>
        <w:lang w:val="fr-FR" w:eastAsia="en-US" w:bidi="ar-SA"/>
      </w:rPr>
    </w:lvl>
    <w:lvl w:ilvl="8" w:tplc="93B64A78">
      <w:numFmt w:val="bullet"/>
      <w:lvlText w:val="•"/>
      <w:lvlJc w:val="left"/>
      <w:pPr>
        <w:ind w:left="7194" w:hanging="360"/>
      </w:pPr>
      <w:rPr>
        <w:rFonts w:hint="default"/>
        <w:lang w:val="fr-FR" w:eastAsia="en-US" w:bidi="ar-SA"/>
      </w:rPr>
    </w:lvl>
  </w:abstractNum>
  <w:abstractNum w:abstractNumId="2" w15:restartNumberingAfterBreak="0">
    <w:nsid w:val="49E0570E"/>
    <w:multiLevelType w:val="multilevel"/>
    <w:tmpl w:val="F2A06CE0"/>
    <w:lvl w:ilvl="0">
      <w:start w:val="8"/>
      <w:numFmt w:val="decimal"/>
      <w:lvlText w:val="%1."/>
      <w:lvlJc w:val="left"/>
      <w:pPr>
        <w:ind w:left="469" w:hanging="211"/>
        <w:jc w:val="left"/>
      </w:pPr>
      <w:rPr>
        <w:rFonts w:ascii="Cambria" w:eastAsia="Cambria" w:hAnsi="Cambria" w:cs="Cambria" w:hint="default"/>
        <w:b/>
        <w:bCs/>
        <w:i w:val="0"/>
        <w:iCs w:val="0"/>
        <w:spacing w:val="-1"/>
        <w:w w:val="100"/>
        <w:sz w:val="20"/>
        <w:szCs w:val="20"/>
        <w:lang w:val="fr-FR" w:eastAsia="en-US" w:bidi="ar-SA"/>
      </w:rPr>
    </w:lvl>
    <w:lvl w:ilvl="1">
      <w:start w:val="1"/>
      <w:numFmt w:val="decimal"/>
      <w:lvlText w:val="%1.%2"/>
      <w:lvlJc w:val="left"/>
      <w:pPr>
        <w:ind w:left="980" w:hanging="350"/>
        <w:jc w:val="left"/>
      </w:pPr>
      <w:rPr>
        <w:rFonts w:ascii="Cambria" w:eastAsia="Cambria" w:hAnsi="Cambria" w:cs="Cambria" w:hint="default"/>
        <w:b w:val="0"/>
        <w:bCs w:val="0"/>
        <w:i w:val="0"/>
        <w:iCs w:val="0"/>
        <w:spacing w:val="-1"/>
        <w:w w:val="100"/>
        <w:sz w:val="20"/>
        <w:szCs w:val="20"/>
        <w:lang w:val="fr-FR" w:eastAsia="en-US" w:bidi="ar-SA"/>
      </w:rPr>
    </w:lvl>
    <w:lvl w:ilvl="2">
      <w:numFmt w:val="bullet"/>
      <w:lvlText w:val="•"/>
      <w:lvlJc w:val="left"/>
      <w:pPr>
        <w:ind w:left="1887" w:hanging="350"/>
      </w:pPr>
      <w:rPr>
        <w:rFonts w:hint="default"/>
        <w:lang w:val="fr-FR" w:eastAsia="en-US" w:bidi="ar-SA"/>
      </w:rPr>
    </w:lvl>
    <w:lvl w:ilvl="3">
      <w:numFmt w:val="bullet"/>
      <w:lvlText w:val="•"/>
      <w:lvlJc w:val="left"/>
      <w:pPr>
        <w:ind w:left="2794" w:hanging="350"/>
      </w:pPr>
      <w:rPr>
        <w:rFonts w:hint="default"/>
        <w:lang w:val="fr-FR" w:eastAsia="en-US" w:bidi="ar-SA"/>
      </w:rPr>
    </w:lvl>
    <w:lvl w:ilvl="4">
      <w:numFmt w:val="bullet"/>
      <w:lvlText w:val="•"/>
      <w:lvlJc w:val="left"/>
      <w:pPr>
        <w:ind w:left="3701" w:hanging="350"/>
      </w:pPr>
      <w:rPr>
        <w:rFonts w:hint="default"/>
        <w:lang w:val="fr-FR" w:eastAsia="en-US" w:bidi="ar-SA"/>
      </w:rPr>
    </w:lvl>
    <w:lvl w:ilvl="5">
      <w:numFmt w:val="bullet"/>
      <w:lvlText w:val="•"/>
      <w:lvlJc w:val="left"/>
      <w:pPr>
        <w:ind w:left="4609" w:hanging="350"/>
      </w:pPr>
      <w:rPr>
        <w:rFonts w:hint="default"/>
        <w:lang w:val="fr-FR" w:eastAsia="en-US" w:bidi="ar-SA"/>
      </w:rPr>
    </w:lvl>
    <w:lvl w:ilvl="6">
      <w:numFmt w:val="bullet"/>
      <w:lvlText w:val="•"/>
      <w:lvlJc w:val="left"/>
      <w:pPr>
        <w:ind w:left="5516" w:hanging="350"/>
      </w:pPr>
      <w:rPr>
        <w:rFonts w:hint="default"/>
        <w:lang w:val="fr-FR" w:eastAsia="en-US" w:bidi="ar-SA"/>
      </w:rPr>
    </w:lvl>
    <w:lvl w:ilvl="7">
      <w:numFmt w:val="bullet"/>
      <w:lvlText w:val="•"/>
      <w:lvlJc w:val="left"/>
      <w:pPr>
        <w:ind w:left="6423" w:hanging="350"/>
      </w:pPr>
      <w:rPr>
        <w:rFonts w:hint="default"/>
        <w:lang w:val="fr-FR" w:eastAsia="en-US" w:bidi="ar-SA"/>
      </w:rPr>
    </w:lvl>
    <w:lvl w:ilvl="8">
      <w:numFmt w:val="bullet"/>
      <w:lvlText w:val="•"/>
      <w:lvlJc w:val="left"/>
      <w:pPr>
        <w:ind w:left="7330" w:hanging="350"/>
      </w:pPr>
      <w:rPr>
        <w:rFonts w:hint="default"/>
        <w:lang w:val="fr-FR" w:eastAsia="en-US" w:bidi="ar-SA"/>
      </w:rPr>
    </w:lvl>
  </w:abstractNum>
  <w:num w:numId="1" w16cid:durableId="1558008011">
    <w:abstractNumId w:val="0"/>
  </w:num>
  <w:num w:numId="2" w16cid:durableId="409891299">
    <w:abstractNumId w:val="1"/>
  </w:num>
  <w:num w:numId="3" w16cid:durableId="1463039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ED"/>
    <w:rsid w:val="00001C2D"/>
    <w:rsid w:val="003127FB"/>
    <w:rsid w:val="00421CF1"/>
    <w:rsid w:val="00476FED"/>
    <w:rsid w:val="008D32F4"/>
    <w:rsid w:val="00925451"/>
    <w:rsid w:val="00C55D1A"/>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444BACE5"/>
  <w15:chartTrackingRefBased/>
  <w15:docId w15:val="{852C5233-6F2C-444D-A5E5-F9408C90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F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F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F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F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F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F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F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FED"/>
    <w:rPr>
      <w:rFonts w:eastAsiaTheme="majorEastAsia" w:cstheme="majorBidi"/>
      <w:color w:val="272727" w:themeColor="text1" w:themeTint="D8"/>
    </w:rPr>
  </w:style>
  <w:style w:type="paragraph" w:styleId="Title">
    <w:name w:val="Title"/>
    <w:basedOn w:val="Normal"/>
    <w:next w:val="Normal"/>
    <w:link w:val="TitleChar"/>
    <w:uiPriority w:val="10"/>
    <w:qFormat/>
    <w:rsid w:val="00476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F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FED"/>
    <w:pPr>
      <w:spacing w:before="160"/>
      <w:jc w:val="center"/>
    </w:pPr>
    <w:rPr>
      <w:i/>
      <w:iCs/>
      <w:color w:val="404040" w:themeColor="text1" w:themeTint="BF"/>
    </w:rPr>
  </w:style>
  <w:style w:type="character" w:customStyle="1" w:styleId="QuoteChar">
    <w:name w:val="Quote Char"/>
    <w:basedOn w:val="DefaultParagraphFont"/>
    <w:link w:val="Quote"/>
    <w:uiPriority w:val="29"/>
    <w:rsid w:val="00476FED"/>
    <w:rPr>
      <w:i/>
      <w:iCs/>
      <w:color w:val="404040" w:themeColor="text1" w:themeTint="BF"/>
    </w:rPr>
  </w:style>
  <w:style w:type="paragraph" w:styleId="ListParagraph">
    <w:name w:val="List Paragraph"/>
    <w:basedOn w:val="Normal"/>
    <w:uiPriority w:val="1"/>
    <w:qFormat/>
    <w:rsid w:val="00476FED"/>
    <w:pPr>
      <w:ind w:left="720"/>
      <w:contextualSpacing/>
    </w:pPr>
  </w:style>
  <w:style w:type="character" w:styleId="IntenseEmphasis">
    <w:name w:val="Intense Emphasis"/>
    <w:basedOn w:val="DefaultParagraphFont"/>
    <w:uiPriority w:val="21"/>
    <w:qFormat/>
    <w:rsid w:val="00476FED"/>
    <w:rPr>
      <w:i/>
      <w:iCs/>
      <w:color w:val="0F4761" w:themeColor="accent1" w:themeShade="BF"/>
    </w:rPr>
  </w:style>
  <w:style w:type="paragraph" w:styleId="IntenseQuote">
    <w:name w:val="Intense Quote"/>
    <w:basedOn w:val="Normal"/>
    <w:next w:val="Normal"/>
    <w:link w:val="IntenseQuoteChar"/>
    <w:uiPriority w:val="30"/>
    <w:qFormat/>
    <w:rsid w:val="00476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FED"/>
    <w:rPr>
      <w:i/>
      <w:iCs/>
      <w:color w:val="0F4761" w:themeColor="accent1" w:themeShade="BF"/>
    </w:rPr>
  </w:style>
  <w:style w:type="character" w:styleId="IntenseReference">
    <w:name w:val="Intense Reference"/>
    <w:basedOn w:val="DefaultParagraphFont"/>
    <w:uiPriority w:val="32"/>
    <w:qFormat/>
    <w:rsid w:val="00476FED"/>
    <w:rPr>
      <w:b/>
      <w:bCs/>
      <w:smallCaps/>
      <w:color w:val="0F4761" w:themeColor="accent1" w:themeShade="BF"/>
      <w:spacing w:val="5"/>
    </w:rPr>
  </w:style>
  <w:style w:type="paragraph" w:styleId="BodyText">
    <w:name w:val="Body Text"/>
    <w:basedOn w:val="Normal"/>
    <w:link w:val="BodyTextChar"/>
    <w:uiPriority w:val="1"/>
    <w:qFormat/>
    <w:rsid w:val="00476FED"/>
    <w:pPr>
      <w:widowControl w:val="0"/>
      <w:autoSpaceDE w:val="0"/>
      <w:autoSpaceDN w:val="0"/>
      <w:spacing w:after="0" w:line="240" w:lineRule="auto"/>
    </w:pPr>
    <w:rPr>
      <w:rFonts w:ascii="Cambria" w:eastAsia="Cambria" w:hAnsi="Cambria" w:cs="Cambria"/>
      <w:kern w:val="0"/>
      <w:lang w:val="fr-FR"/>
      <w14:ligatures w14:val="none"/>
    </w:rPr>
  </w:style>
  <w:style w:type="character" w:customStyle="1" w:styleId="BodyTextChar">
    <w:name w:val="Body Text Char"/>
    <w:basedOn w:val="DefaultParagraphFont"/>
    <w:link w:val="BodyText"/>
    <w:uiPriority w:val="1"/>
    <w:rsid w:val="00476FED"/>
    <w:rPr>
      <w:rFonts w:ascii="Cambria" w:eastAsia="Cambria" w:hAnsi="Cambria" w:cs="Cambria"/>
      <w:kern w:val="0"/>
      <w:lang w:val="fr-FR"/>
      <w14:ligatures w14:val="none"/>
    </w:rPr>
  </w:style>
  <w:style w:type="paragraph" w:styleId="NormalWeb">
    <w:name w:val="Normal (Web)"/>
    <w:basedOn w:val="Normal"/>
    <w:uiPriority w:val="99"/>
    <w:semiHidden/>
    <w:unhideWhenUsed/>
    <w:rsid w:val="003127FB"/>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Gauthier</dc:creator>
  <cp:keywords/>
  <dc:description/>
  <cp:lastModifiedBy>Fiona Gauthier</cp:lastModifiedBy>
  <cp:revision>2</cp:revision>
  <dcterms:created xsi:type="dcterms:W3CDTF">2024-09-24T14:12:00Z</dcterms:created>
  <dcterms:modified xsi:type="dcterms:W3CDTF">2024-09-24T14:16:00Z</dcterms:modified>
</cp:coreProperties>
</file>